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94 BayAgrSchO (Bayern) — Bildungsdauer, Unterrichtsgestaltung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Unterricht umfasst zwei Schuljahre mit je 40 Unterrichtswochen in Vollzeitform. Abweichend von Satz 1 kann die Meister- und Technikerschule für Weinbau und Gartenbau nach dem ersten Schuljahr durch Ablegen der Wirtschafterprüfung abgeschlossen werden.</w:t>
      </w:r>
    </w:p>
    <w:p>
      <w:r>
        <w:t xml:space="preserve">(2) Die Unterrichtszeiten regelt das Staatsministerium. Die Zahl der Unterrichtsstunden ergibt sich aus der Stundentafel (Anlagen 17 bis 23).</w:t>
      </w:r>
    </w:p>
    <w:p>
      <w:r>
        <w:rPr>
          <w:color w:val="555555"/>
          <w:sz w:val="17"/>
        </w:rPr>
        <w:t xml:space="preserve">Zitiervorschlag: § 94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https://recht.nulegal.eu/gesetze/BayAgrSchO/94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