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92 BayAgrSchO (Bayern) — Gliederung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staatlichen Technikerschulen gliedern sich in folgende Fachrichtungen:</w:t>
      </w:r>
    </w:p>
    <w:p>
      <w:r>
        <w:t xml:space="preserve">1. Technikerschule für Agrarwirtschaft:</w:t>
      </w:r>
    </w:p>
    <w:p>
      <w:r>
        <w:t xml:space="preserve">a) Landwirtschaft,</w:t>
      </w:r>
    </w:p>
    <w:p>
      <w:r>
        <w:t xml:space="preserve">b) Milchwirtschaft und Molkereiwesen sowie</w:t>
      </w:r>
    </w:p>
    <w:p>
      <w:r>
        <w:t xml:space="preserve">c) Ernährungs- und Versorgungsmanagement;</w:t>
      </w:r>
    </w:p>
    <w:p>
      <w:r>
        <w:t xml:space="preserve">2. Technikerschule für Waldwirtschaft;</w:t>
      </w:r>
    </w:p>
    <w:p>
      <w:r>
        <w:t xml:space="preserve">3. Meister- und Technikerschule für Weinbau und Gartenbau:</w:t>
      </w:r>
    </w:p>
    <w:p>
      <w:r>
        <w:t xml:space="preserve">a) Gartenbau mit den Schwerpunkten</w:t>
      </w:r>
    </w:p>
    <w:p>
      <w:r>
        <w:t xml:space="preserve">aa) Zierpflanzenbau,</w:t>
      </w:r>
    </w:p>
    <w:p>
      <w:r>
        <w:t xml:space="preserve">bb) Baumschule,</w:t>
      </w:r>
    </w:p>
    <w:p>
      <w:r>
        <w:t xml:space="preserve">b) Garten- und Landschaftsbau sowie</w:t>
      </w:r>
    </w:p>
    <w:p>
      <w:r>
        <w:t xml:space="preserve">c) Weinbau und Oenologie.</w:t>
      </w:r>
    </w:p>
    <w:p>
      <w:r>
        <w:rPr>
          <w:color w:val="555555"/>
          <w:sz w:val="17"/>
        </w:rPr>
        <w:t xml:space="preserve">Zitiervorschlag: § 92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https://recht.nulegal.eu/gesetze/BayAgrSchO/92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