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80 BayAgrSchO (Bayern) — Zugangsvoraussetzungen</w:t>
      </w:r>
    </w:p>
    <w:p>
      <w:r>
        <w:rPr>
          <w:color w:val="555555"/>
          <w:sz w:val="18"/>
        </w:rPr>
        <w:t xml:space="preserve">Bayerische Agrarschulordnung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Aufnahme in die Höhere Landbauschule setzt den Abschluss „Staatlich geprüfter Wirtschafter im Landbau“ oder „Staatlich geprüfte Wirtschafterin im Landbau“ oder einen gleichwertigen Abschluss voraus.</w:t>
      </w:r>
    </w:p>
    <w:p>
      <w:r>
        <w:rPr>
          <w:color w:val="555555"/>
          <w:sz w:val="17"/>
        </w:rPr>
        <w:t xml:space="preserve">Zitiervorschlag: § 80 BayAgrSchO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https://recht.nulegal.eu/gesetze/BayAgrSchO/80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