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79 BayAgrSchO (Bayern) — Bildungsdauer, Semestergestaltung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Unterricht umfasst ein Schuljahr mit 40 Unterrichtswochen in Vollzeitform. Die Unterrichtszeiten regelt das Staatsministerium.</w:t>
      </w:r>
    </w:p>
    <w:p>
      <w:r>
        <w:t xml:space="preserve">(2) Die Zahl der Unterrichtsstunden ergibt sich aus der Stundentafel (Anlage 16).</w:t>
      </w:r>
    </w:p>
    <w:p>
      <w:r>
        <w:rPr>
          <w:color w:val="555555"/>
          <w:sz w:val="17"/>
        </w:rPr>
        <w:t xml:space="preserve">Zitiervorschlag: § 79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https://recht.nulegal.eu/gesetze/BayAgrSchO/79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