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BayAgrSchO (Bayern) — Berufsbezeichnung, Urkunden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Studierende, die die Abschlussprüfung bestanden haben, erhalten neben dem Abschlusszeugnis eine Urkunde nach dem Muster des Staatsministeriums. Sie sind berechtigt, die Berufsbezeichnung „Staatlich geprüfter Wirtschafter oder Staatlich geprüfte Wirtschafterin für</w:t>
      </w:r>
    </w:p>
    <w:p>
      <w:r>
        <w:t xml:space="preserve">1. Gartenbau, Fachgebiet Zierpflanzenbau/Management und Gestaltung,</w:t>
      </w:r>
    </w:p>
    <w:p>
      <w:r>
        <w:t xml:space="preserve">2. Gartenbau, Fachgebiet Staudengärtnerei/Management und Gestaltung,</w:t>
      </w:r>
    </w:p>
    <w:p>
      <w:r>
        <w:t xml:space="preserve">3. Gartenbau, Fachgebiet Gemüsebau,</w:t>
      </w:r>
    </w:p>
    <w:p>
      <w:r>
        <w:t xml:space="preserve">4. Garten- und Landschaftsbau,</w:t>
      </w:r>
    </w:p>
    <w:p>
      <w:r>
        <w:t xml:space="preserve">5. Garten- und Landschaftsbau, Fachgebiet Management und Gestaltung,</w:t>
      </w:r>
    </w:p>
    <w:p>
      <w:r>
        <w:t xml:space="preserve">6. ökologischen Landbau,</w:t>
      </w:r>
    </w:p>
    <w:p>
      <w:r>
        <w:t xml:space="preserve">7. Milchwirtschaft und Molkereiwesen oder</w:t>
      </w:r>
    </w:p>
    <w:p>
      <w:r>
        <w:t xml:space="preserve">8. Milchwirtschaftliches Laborwesen“</w:t>
      </w:r>
    </w:p>
    <w:p>
      <w:r>
        <w:t xml:space="preserve">zu führen. Die Berufsbezeichnung kann jeweils mit oder ohne den Zusatz „Bachelor Professional in Agrarwirtschaft“ geführt werden.</w:t>
      </w:r>
    </w:p>
    <w:p>
      <w:r>
        <w:rPr>
          <w:color w:val="555555"/>
          <w:sz w:val="17"/>
        </w:rPr>
        <w:t xml:space="preserve">Zitiervorschlag: § 76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https://recht.nulegal.eu/gesetze/BayAgrSchO/76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