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68 BayAgrSchO (Bayern) — Semesterarbeit</w:t>
      </w:r>
    </w:p>
    <w:p>
      <w:r>
        <w:rPr>
          <w:color w:val="555555"/>
          <w:sz w:val="18"/>
        </w:rPr>
        <w:t xml:space="preserve">Bayerische Agrarschulordnung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In den dreisemestrigen Studiengängen ist mit Ausnahme der Fachrichtungen Garten- und Landschaftsbau sowie Gartenbau im fachpraktischen Semester eine Semesterarbeit anzufertigen.</w:t>
      </w:r>
    </w:p>
    <w:p>
      <w:r>
        <w:rPr>
          <w:color w:val="555555"/>
          <w:sz w:val="17"/>
        </w:rPr>
        <w:t xml:space="preserve">Zitiervorschlag: § 68 BayAgrSchO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https://recht.nulegal.eu/gesetze/BayAgrSchO/68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