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BayAgrSchO (Bayern) — Bildungsdauer, Semester- und Maßnahmeabschnittsgestaltung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 Unterrichtszeiten regelt das Staatsministerium. Der Unterricht wird erteilt:</w:t>
      </w:r>
    </w:p>
    <w:p>
      <w:r>
        <w:t xml:space="preserve">1. im zweisemestrigen Studiengang in zwei fachtheoretischen Semestern mit je 20 Unterrichtswochen in Vollzeitform,</w:t>
      </w:r>
    </w:p>
    <w:p>
      <w:r>
        <w:t xml:space="preserve">2. im dreisemestrigen Studiengang in zwei fachtheoretischen Semestern im ersten und dritten Semester und einem fachpraktischen zweiten Semester oder</w:t>
      </w:r>
    </w:p>
    <w:p>
      <w:r>
        <w:t xml:space="preserve">3. im Studiengang mit E-Learning-Phasen in der Fachrichtung Garten- und Landschaftsbau in drei Maßnahmeabschnitten, wobei der erste und dritte Abschnitt jeweils in Präsenz, der zweite Abschnitt online als E-Learning-Phase stattfindet.</w:t>
      </w:r>
    </w:p>
    <w:p>
      <w:r>
        <w:t xml:space="preserve">Im fachpraktischen Semester gemäß Satz 2 Nr. 2 und im zweiten Maßnahmeabschnitt gemäß Satz 2 Nr. 3 führt die Schule 15 Sommersemestertage in Präsenz durch.</w:t>
      </w:r>
    </w:p>
    <w:p>
      <w:r>
        <w:t xml:space="preserve">(2) Die Zahl der Unterrichtsstunden ergibt sich aus der Stundentafel (Anlagen 6 bis 15).</w:t>
      </w:r>
    </w:p>
    <w:p>
      <w:r>
        <w:rPr>
          <w:color w:val="555555"/>
          <w:sz w:val="17"/>
        </w:rPr>
        <w:t xml:space="preserve">Zitiervorschlag: § 64 BayAgrSchO (Bayern)</w:t>
      </w:r>
    </w:p>
    <w:p>
      <w:r>
        <w:rPr>
          <w:color w:val="555555"/>
          <w:sz w:val="17"/>
        </w:rPr>
        <w:t xml:space="preserve">Quelle: bayernrecht, abgerufen 01.09.2026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https://recht.nulegal.eu/gesetze/BayAgrSchO/64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