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BayAgrSchO (Bayern) — Bildungsziele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Im Rahmen des gemeinsamen Bildungs- und Erziehungsauftrags aller Schulen sowie des gemeinsamen Bildungsauftrags der Schulen gemäß § 2 hat die Fachschule für Agrarwirtschaft das Ziel, die Studierenden als Fachkräfte mit beruflicher Erfahrung zu befähigen, Führungsaufgaben in Betrieben, Unternehmen, Verwaltungen und Einrichtungen zu übernehmen und selbständig verantwortungsvolle Tätigkeiten auszuführen.</w:t>
      </w:r>
    </w:p>
    <w:p>
      <w:r>
        <w:rPr>
          <w:color w:val="555555"/>
          <w:sz w:val="17"/>
        </w:rPr>
        <w:t xml:space="preserve">Zitiervorschlag: § 63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https://recht.nulegal.eu/gesetze/BayAgrSchO/63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