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BayAgrSchO (Bayern) — Gliederung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Fachschulen für Agrarwirtschaft gliedern sich in die Fachrichtungen</w:t>
      </w:r>
    </w:p>
    <w:p>
      <w:r>
        <w:t xml:space="preserve">1. Garten- und Landschaftsbau,</w:t>
      </w:r>
    </w:p>
    <w:p>
      <w:r>
        <w:t xml:space="preserve">2. Gartenbau,</w:t>
      </w:r>
    </w:p>
    <w:p>
      <w:r>
        <w:t xml:space="preserve">3. Milchwirtschaft und Molkereiwesen,</w:t>
      </w:r>
    </w:p>
    <w:p>
      <w:r>
        <w:t xml:space="preserve">4. ökologischer Landbau sowie</w:t>
      </w:r>
    </w:p>
    <w:p>
      <w:r>
        <w:t xml:space="preserve">5. Milchwirtschaftliches Laborwesen.</w:t>
      </w:r>
    </w:p>
    <w:p>
      <w:r>
        <w:t xml:space="preserve">(2) Die Fachrichtung Garten- und Landschaftsbau kann auch mit dem Fachgebiet Management und Gestaltung sowie als Studiengang mit E-Learning-Phasen angeboten werden.</w:t>
      </w:r>
    </w:p>
    <w:p>
      <w:r>
        <w:t xml:space="preserve">(3) Die Fachrichtung Gartenbau gliedert sich in die Fachgebiete</w:t>
      </w:r>
    </w:p>
    <w:p>
      <w:r>
        <w:t xml:space="preserve">1. Gemüsebau,</w:t>
      </w:r>
    </w:p>
    <w:p>
      <w:r>
        <w:t xml:space="preserve">2. Zierpflanzenbau/Management und Gestaltung sowie</w:t>
      </w:r>
    </w:p>
    <w:p>
      <w:r>
        <w:t xml:space="preserve">3. Staudengärtnerei/Management und Gestaltung.</w:t>
      </w:r>
    </w:p>
    <w:p>
      <w:r>
        <w:rPr>
          <w:color w:val="555555"/>
          <w:sz w:val="17"/>
        </w:rPr>
        <w:t xml:space="preserve">Zitiervorschlag: § 62 BayAgrSchO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