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BayAgrSchO (Bayern) — Praktische Prüfung, Berufs- und Arbeitspädagogik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praktische Prüfung im Fach „Betriebsmanagement“ findet am Ende des dritten Schuljahres statt.</w:t>
      </w:r>
    </w:p>
    <w:p>
      <w:r>
        <w:t xml:space="preserve">(2) Die praktische Prüfung im Fach „Berufs- und Arbeitspädagogik“ findet im dritten Schuljahr statt.</w:t>
      </w:r>
    </w:p>
    <w:p>
      <w:r>
        <w:t xml:space="preserve">(3) Für die Prüfung im Fach „Berufs- und Arbeitspädagogik“ ist § 38 entsprechend anzuwenden.</w:t>
      </w:r>
    </w:p>
    <w:p>
      <w:r>
        <w:rPr>
          <w:color w:val="555555"/>
          <w:sz w:val="17"/>
        </w:rPr>
        <w:t xml:space="preserve">Zitiervorschlag: § 56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