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 BayAgrSchO (Bayern) — Zugangsvoraussetzungen</w:t>
      </w:r>
    </w:p>
    <w:p>
      <w:r>
        <w:rPr>
          <w:color w:val="555555"/>
          <w:sz w:val="18"/>
        </w:rPr>
        <w:t xml:space="preserve">Bayerische Agrarschulordnung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Aufnahme in das erste Schuljahr der Fachakademie sind ein mittlerer Schulabschluss und zusätzlich eine einschlägige abgeschlossene Berufsausbildung in einem staatlich anerkannten Ausbildungsberuf mit einer Regelausbildungsdauer von mindestens drei Jahren erforderlich.</w:t>
      </w:r>
    </w:p>
    <w:p>
      <w:r>
        <w:t xml:space="preserve">(2) Bewerber mit dem Abschluss „Staatlich geprüfter Wirtschafter/Staatlich geprüfte Wirtschafterin für Ernährung und Haushaltsmanagement“, „Meister/ Meisterin der Hauswirtschaft“ sowie „Staatlich geprüfter Techniker/Staatlich geprüfte Technikerin für Ernährungs- und Versorgungsmanagement “ oder Bewerber mit vergleichbarem Schulabschluss können zu Beginn des dritten Schuljahres in die Fachakademie aufgenommen werden.</w:t>
      </w:r>
    </w:p>
    <w:p>
      <w:r>
        <w:rPr>
          <w:color w:val="555555"/>
          <w:sz w:val="17"/>
        </w:rPr>
        <w:t xml:space="preserve">Zitiervorschlag: § 47 BayAgrSchO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https://recht.nulegal.eu/gesetze/BayAgrSchO/47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 BayAgrSchO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