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BayAgrSchO (Bayern) — Bildungsziele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Im Rahmen des gemeinsamen Bildungs- und Erziehungsauftrags aller Schulen (Art. 1 BayEUG) sowie des gemeinsamen Bildungsauftrags der Schulen gemäß § 2 hat die Fachakademie das Ziel, die Studierenden zur Übernahme von Aufgaben als Fach- und Führungskräfte in hauswirtschaftlichen und landwirtschaftlich-hauswirtschaftlichen Betrieben und Dienstleistungsunternehmen sowie einer unternehmerischen Tätigkeit vorzubereiten. Sie schafft die fachlichen Voraussetzungen für die Laufbahn der landwirtschaftlich-hauswirtschaftlichen Fachlehrerinnen oder Fachlehrer und Fachberaterinnen oder Fachberater sowie für die Laufbahn eines entsprechenden landwirtschaftlich-technischen öffentlichen Dienstes und für die Laufbahn Fachlehrerin oder Fachlehrer für Ernährung und Versorgung an berufsbildenden Schulen oder vergleichbare Angestellte.</w:t>
      </w:r>
    </w:p>
    <w:p>
      <w:r>
        <w:t xml:space="preserve">(2) Die Fachakademie dient der vertieften beruflichen Fortbildung und vermittelt auch die für ein Fachhochschulstudium erforderlichen Lern- und Arbeitstechniken.</w:t>
      </w:r>
    </w:p>
    <w:p>
      <w:r>
        <w:rPr>
          <w:color w:val="555555"/>
          <w:sz w:val="17"/>
        </w:rPr>
        <w:t xml:space="preserve">Zitiervorschlag: § 45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https://recht.nulegal.eu/gesetze/BayAgrSchO/45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