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44 BayAgrSchO (Bayern) — Fachrichtung</w:t>
      </w:r>
    </w:p>
    <w:p>
      <w:r>
        <w:rPr>
          <w:color w:val="555555"/>
          <w:sz w:val="18"/>
        </w:rPr>
        <w:t xml:space="preserve">Bayerische Agrarschulordnung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Fachakademie wird mit der Fachrichtung Ernährungs- und Versorgungsmanagement geführt.</w:t>
      </w:r>
    </w:p>
    <w:p>
      <w:r>
        <w:rPr>
          <w:color w:val="555555"/>
          <w:sz w:val="17"/>
        </w:rPr>
        <w:t xml:space="preserve">Zitiervorschlag: § 44 BayAgrSchO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https://recht.nulegal.eu/gesetze/BayAgrSchO/44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verkuendung-bayern.de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44 BayAgrSchO (Bayern)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