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BayAgrSchO (Bayern) — Lehrerkonferenz (vergleiche Art. 58 BayEUG)</w:t>
      </w:r>
    </w:p>
    <w:p>
      <w:r>
        <w:rPr>
          <w:color w:val="555555"/>
          <w:sz w:val="18"/>
        </w:rPr>
        <w:t xml:space="preserve">Bayerische Agrarschulordnung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(1) An Schulen mit mehreren Ausbildungsrichtungen, die als Abteilungen oder Fachrichtungen geführt werden, werden neben der Lehrerkonferenz gemäß Art. 58 Abs. 1 Satz 2 BayEUG für schulartspezifische Angelegenheiten Teilkonferenzen gebildet.</w:t>
      </w:r>
    </w:p>
    <w:p>
      <w:r>
        <w:t xml:space="preserve">(2) Die Lehrerkonferenz beschließt im Rahmen ihrer Aufgaben nach Art. 58 Abs. 3 und 4 BayEUG auch über</w:t>
      </w:r>
    </w:p>
    <w:p>
      <w:r>
        <w:t xml:space="preserve">1. Widersprüche gegen Verwaltungsakte,</w:t>
      </w:r>
    </w:p>
    <w:p>
      <w:r>
        <w:t xml:space="preserve">2. Beschwerden von grundsätzlicher Bedeutung mit Ausnahme von Aufsichtsbeschwerden gegen die Schule und von Dienstaufsichtsbeschwerden,</w:t>
      </w:r>
    </w:p>
    <w:p>
      <w:r>
        <w:t xml:space="preserve">3. sonstige Schulveranstaltungen, die die gesamte Schule betreffen.</w:t>
      </w:r>
    </w:p>
    <w:p>
      <w:r>
        <w:t xml:space="preserve">(3) Die Schulleitung führt den Vorsitz in der Lehrerkonferenz und in der Teilkonferenz (vorsitzendes Mitglied); diese kann den Vorsitz in der Teilkonferenz an die Leiter der Abteilungen oder die Leiter der Fachrichtungen delegieren. Die Lehrerkonferenz wird bei Bedarf, mindestens aber einmal in jedem Schulhalbjahr oder Semester einberufen; ihre Sitzungen sind nicht öffentlich. Soweit an Schulen Teilkonferenzen eingerichtet sind, ist neben den Lehrerkonferenzen bei Bedarf, mindestens jedoch einmal im Semester oder im Schulhalbjahr, die Teilkonferenz einzuberufen. Ort, Zeit und Tagesordnung sind den Mitgliedern mindestens eine Woche vor Beginn in Textform oder durch Aushang in der an der Schule üblichen Weise bekannt zu geben. In dringenden Fällen kann die Frist unterschritten werden. Jedes Mitglied kann die Behandlung zusätzlicher Tagesordnungspunkte beantragen. Die zusätzlichen Tagesordnungspunkte werden in die Tagesordnung aufgenommen, wenn das vorsitzende Mitglied oder mindestens ein Viertel der Mitglieder der Lehrerkonferenz dem zustimmen.</w:t>
      </w:r>
    </w:p>
    <w:p>
      <w:r>
        <w:t xml:space="preserve">(4) Mitglieder der Lehrerkonferenz oder Teilkonferenz gemäß Art. 58 Abs. 2 Satz 1 BayEUG sind zur Teilnahme an den Sitzungen verpflichtet. Das vorsitzende Mitglied kann Lehrkräfte von der Teilnahme an einzelnen Konferenzsitzungen ganz oder teilweise befreien und Dritte zur Beratung einzelner Tagesordnungspunkte hinzuziehen.</w:t>
      </w:r>
    </w:p>
    <w:p>
      <w:r>
        <w:t xml:space="preserve">(5) Den Klassen- oder Semestersprechern ist Gelegenheit zu geben, an der Lehrerkonferenz oder Teilkonferenz teilzunehmen, wenn und soweit Angelegenheiten beraten werden, welche die Studierenden allgemein betreffen; die Entscheidung hierüber trifft das vorsitzende Mitglied.</w:t>
      </w:r>
    </w:p>
    <w:p>
      <w:r>
        <w:t xml:space="preserve">(6) Die Lehrerkonferenz oder Teilkonferenz ist beschlussfähig, wenn sämtliche Mitglieder ordnungsgemäß geladen sind und die Mehrheit der Mitglieder anwesend ist. Wird die Lehrerkonferenz oder Teilkonferenz zum zweiten Mal zur Behandlung desselben Gegenstands zusammengerufen, so ist sie insoweit ohne Rücksicht auf die Zahl der Anwesenden beschlussfähig.</w:t>
      </w:r>
    </w:p>
    <w:p>
      <w:r>
        <w:t xml:space="preserve">(7) Stimmberechtigt sind alle Mitglieder der Lehrerkonferenz oder Teilkonferenz. Bei Besorgnis der Befangenheit gilt Art. 21 des Bayerischen Verwaltungsverfahrensgesetzes entsprechend. Beschlüsse werden in offener Abstimmung mit einfacher Mehrheit der abgegebenen Stimmen gefasst. Bei Stimmengleichheit gibt die Stimme des vorsitzenden Mitglieds den Ausschlag.</w:t>
      </w:r>
    </w:p>
    <w:p>
      <w:r>
        <w:t xml:space="preserve">(8) Über Beratungen und Abstimmungen, die Angelegenheiten von Studierenden, Schulpersonal oder dritten Personen betreffen, ist Verschwiegenheit zu bewahren. Die Lehrerkonferenz oder Teilkonferenz kann auch die vertrauliche Behandlung anderer Beratungsgegenstände beschließen.</w:t>
      </w:r>
    </w:p>
    <w:p>
      <w:r>
        <w:t xml:space="preserve">(9) Über den Ablauf jeder Lehrerkonferenz und jeder Teilkonferenz ist ein Protokoll in Textform anzufertigen; dieses ist drei Jahre aufzubewahren. Die Mitglieder der Lehrerkonferenz und der Teilkonferenz haben das Recht, das Protokoll einzusehen, die nach Abs. 4 und Abs. 5 hinzugezogenen Personen nur hinsichtlich der Tagesordnungspunkte, zu denen sie hinzugezogen wurden.</w:t>
      </w:r>
    </w:p>
    <w:p>
      <w:r>
        <w:rPr>
          <w:color w:val="555555"/>
          <w:sz w:val="17"/>
        </w:rPr>
        <w:t xml:space="preserve">Zitiervorschlag: § 4 BayAgrSchO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