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BayAgrSchO (Bayern) — Schriftliche Prüfungen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schriftliche Prüfung werden die Prüfungsthemen, die zugelassenen Hilfsmittel sowie die Prüfungstermine nach Vorgaben des Staatsministeriums festgelegt. Die Schulleitung reicht nach Anforderung Themenvorschläge ein.</w:t>
      </w:r>
    </w:p>
    <w:p>
      <w:r>
        <w:t xml:space="preserve">(2) In der Abteilung Landwirtschaft entsprechen die Prüfungsfächer „Landwirtschaftlicher Pflanzenbau“ und „Landwirtschaftliche Tierhaltung“ dem Prüfungsteil „Produktions- und Verfahrenstechnik“ in der Meisterprüfung. Die Wirtschafterarbeit findet im dritten Semester statt und ist am Freitag der vierten Kalenderwoche abzugeben.</w:t>
      </w:r>
    </w:p>
    <w:p>
      <w:r>
        <w:t xml:space="preserve">(3) Im dreisemestrigen Studiengang der Abteilung Hauswirtschaft entsprechen die Prüfungsfächer „Hauswirtschaftliche Betreuungs- und Versorgungsleistungen“ und „Betriebs- und Unternehmensführung“ den Prüfungsteilen in der Meisterprüfung.</w:t>
      </w:r>
    </w:p>
    <w:p>
      <w:r>
        <w:rPr>
          <w:color w:val="555555"/>
          <w:sz w:val="17"/>
        </w:rPr>
        <w:t xml:space="preserve">Zitiervorschlag: § 37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