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BayAgrSchO (Bayern) — Schulleitung (vergleiche Art. 57 BayEUG)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Vorbehaltlich anderweitiger Regelungen entscheidet die Schulleiterin oder der Schulleiter (Schulleitung) insbesondere</w:t>
      </w:r>
    </w:p>
    <w:p>
      <w:r>
        <w:t xml:space="preserve">1. über die Durchführung und Verbindlichkeit von sonstigen Schulveranstaltungen,</w:t>
      </w:r>
    </w:p>
    <w:p>
      <w:r>
        <w:t xml:space="preserve">2. über den Erlass einer Hausordnung,</w:t>
      </w:r>
    </w:p>
    <w:p>
      <w:r>
        <w:t xml:space="preserve">3. über die Verbreitung von gedruckten oder digitalen Schriften und Plakaten im schulischen Interesse und</w:t>
      </w:r>
    </w:p>
    <w:p>
      <w:r>
        <w:t xml:space="preserve">4. im Einvernehmen mit dem Aufwandsträger über die Zulässigkeit von Bild-, Film-, Fernseh- und Tonaufnahmen in der Schule.</w:t>
      </w:r>
    </w:p>
    <w:p>
      <w:r>
        <w:t xml:space="preserve">Anderweitige Mitwirkungsrechte, wie etwa nach dem Bayerischen Gesetz über das Erziehungs- und Unterrichtswesen oder dem Bayerischen Personalvertretungsgesetz bleiben unberührt. Die Schulleitung übt das Hausrecht in der Schulanlage aus.</w:t>
      </w:r>
    </w:p>
    <w:p>
      <w:r>
        <w:rPr>
          <w:color w:val="555555"/>
          <w:sz w:val="17"/>
        </w:rPr>
        <w:t xml:space="preserve">Zitiervorschlag: § 3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