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BayAgrSchO (Bayern) — Zugangsvoraussetzungen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einzelnen Studiengänge sind folgende Zugangsvoraussetzungen zu erfüllen:</w:t>
      </w:r>
    </w:p>
    <w:p>
      <w:r>
        <w:t xml:space="preserve">1. Im dreisemestrigen Studiengang der Abteilung Landwirtschaft ist der Berufsabschluss in einem anerkannten Ausbildungsberuf der Landwirtschaft erforderlich.</w:t>
      </w:r>
    </w:p>
    <w:p>
      <w:r>
        <w:t xml:space="preserve">2. Im dreisemestrigen Studiengang der Abteilung Hauswirtschaft sind der Berufsabschluss im Ausbildungsberuf Hauswirtschafter/Hauswirtschafterin sowie zusätzlich ein Jahr einschlägige Berufspraxis oder ein Nachweis über die Erfüllung der Zulassungsvoraussetzungen gemäß § 2 der Verordnung über die Anforderungen der Meisterprüfung für den Beruf Hauswirtschafter/Hauswirtschafterin vom 28. Juli 2005 (BGBl. I S. 2278) erforderlich.</w:t>
      </w:r>
    </w:p>
    <w:p>
      <w:r>
        <w:t xml:space="preserve">3. Im zweisemestrigen Studiengang der Abteilung Hauswirtschaft ist der Berufsabschluss im Ausbildungsberuf Hauswirtschafter/Hauswirtschafterin erforderlich.</w:t>
      </w:r>
    </w:p>
    <w:p>
      <w:r>
        <w:t xml:space="preserve">4. Im einsemestrigen Studiengang der Abteilung Hauswirtschaft ist ein nicht hauswirtschaftlicher Berufsabschluss mit in der Regel ausreichender praktischer Berufstätigkeit nachzuweisen; ergänzend dazu kann Personen, die keine Aufnahme in den einsemestrigen Studiengang der Abteilung Hauswirtschaft beantragen, die Teilnahme an dem Fach „Berufs- und Arbeitspädagogik Teil I“ und dem Wahlpflichtmodul „Berufs- und Arbeitspädagogik Teil II“ gemäß § 6 Abs. 5 gestattet werden.</w:t>
      </w:r>
    </w:p>
    <w:p>
      <w:r>
        <w:rPr>
          <w:color w:val="555555"/>
          <w:sz w:val="17"/>
        </w:rPr>
        <w:t xml:space="preserve">Zitiervorschlag: § 29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https://recht.nulegal.eu/gesetze/BayAgrSchO/29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