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BayAgrSchO (Bayern) — Notenausgleich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Studierenden, die nach § 20 Abs. 2 vom Vorrücken ausgeschlossen sind, kann unter folgenden Voraussetzungen Notenausgleich gewährt werden:</w:t>
      </w:r>
    </w:p>
    <w:p>
      <w:r>
        <w:t xml:space="preserve">1. wenn sie bei der Note 5 „mangelhaft“ in zwei Pflichtfächern mindestens ausreichende Leistungen in allen übrigen Pflichtfächern erzielt haben und</w:t>
      </w:r>
    </w:p>
    <w:p>
      <w:r>
        <w:t xml:space="preserve">2. wenn sie in mindestens einem Pflichtfach die Note 1 „sehr gut“ oder in zwei Pflichtfächern die Note 2 „gut“ aufweisen.</w:t>
      </w:r>
    </w:p>
    <w:p>
      <w:r>
        <w:t xml:space="preserve">Ein Notenausgleich ist ausgeschlossen, wenn in zwei Pflichtfächern, die in diesem Semester oder Schuljahr abgeschlossen wurden, die Note 5 „mangelhaft“ erzielt wurde. Ferner ist ein Notenausgleich an den Landwirtschaftsschulen im zweiten Semester der Abteilung Landwirtschaft und an den Fachschulen für Agrarwirtschaft im fachpraktischen Semester ausgeschlossen.</w:t>
      </w:r>
    </w:p>
    <w:p>
      <w:r>
        <w:t xml:space="preserve">(2) Die Feststellung über die Gewährung von Notenausgleich trifft die Lehrerkonferenz.</w:t>
      </w:r>
    </w:p>
    <w:p>
      <w:r>
        <w:rPr>
          <w:color w:val="555555"/>
          <w:sz w:val="17"/>
        </w:rPr>
        <w:t xml:space="preserve">Zitiervorschlag: § 21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