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BayAgrSchO (Bayern) — Allgemeine Bildungsziele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Im Rahmen des gemeinsamen Bildungs- und Erziehungsauftrages aller Schulen (Art. 1 Bayerisches Gesetz über das Erziehungs- und Unterrichtswesen – BayEUG) haben die Schulen nach § 1 insbesondere das Ziel, die Studierenden auf ihre Aufgaben in der Agrar- und Hauswirtschaft vorzubereiten und in ihrer Persönlichkeit zu stärken. Dabei sollen die Studierenden</w:t>
      </w:r>
    </w:p>
    <w:p>
      <w:r>
        <w:t xml:space="preserve">1. Verantwortung für die Belange der Agrar- oder Hauswirtschaft und des ländlichen Raumes übernehmen,</w:t>
      </w:r>
    </w:p>
    <w:p>
      <w:r>
        <w:t xml:space="preserve">2. sich der Bedeutung ihrer Rolle als Erzeuger regionaler und hochwertiger Lebensmittel sowie ihrer Verantwortung bewusst werden, Leistungen für Natur und Umwelt zu erbringen,</w:t>
      </w:r>
    </w:p>
    <w:p>
      <w:r>
        <w:t xml:space="preserve">3. selbständig und nachhaltig wirtschaftend unter besonderer Berücksichtigung von Ökonomie und Ökologie, Umwelt- und Ressourcenschutz sowie dem Tierwohl agieren,</w:t>
      </w:r>
    </w:p>
    <w:p>
      <w:r>
        <w:t xml:space="preserve">4. berufliche Handlungs- und Entscheidungsfähigkeit entwickeln und</w:t>
      </w:r>
    </w:p>
    <w:p>
      <w:r>
        <w:t xml:space="preserve">5. ihre beruflichen Handlungsweisen entsprechend den Bildungszielen gegenüber der Gesellschaft kommunizieren.</w:t>
      </w:r>
    </w:p>
    <w:p>
      <w:r>
        <w:t xml:space="preserve">Der Unterricht findet praxisorientiert statt. Die aktuellen, regionalen, betrieblichen und persönlichen Rahmenbedingungen der Studierenden finden im Rahmen der Lehrpläne Berücksichtigung.</w:t>
      </w:r>
    </w:p>
    <w:p>
      <w:r>
        <w:rPr>
          <w:color w:val="555555"/>
          <w:sz w:val="17"/>
        </w:rPr>
        <w:t xml:space="preserve">Zitiervorschlag: § 2 BayAgrSchO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