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BayAgrSchO (Bayern) — Berufsausbildung und Mitarbeiterführung, Berufs- und Arbeitspädagogik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Studierende, die die Abschlussprüfung bestanden haben, besitzen die erforderlichen beruflichen Fertigkeiten, Kenntnisse und Fähigkeiten nach § 30 Abs. 2 Nr. 3 BBiG in Verbindung mit § 2 Abs. 1 Nr. 2 LwHwPrüfAnerkV. Studierende, die im Fach „Berufs- und Arbeitspädagogik“ oder „Berufsausbildung und Mitarbeiterführung“ die Prüfung im schriftlichen und praktischen Teil jeweils mit mindestens Note 4 „ausreichend“ bestanden haben, besitzen die erforderlichen berufs- und arbeitspädagogischen Fertigkeiten, Kenntnisse und Fähigkeiten nach § 30 Abs. 5 BBiG in Verbindung mit der Ausbilder-Eignungsverordnung.</w:t>
      </w:r>
    </w:p>
    <w:p>
      <w:r>
        <w:t xml:space="preserve">(2) Für die Prüfung im Fach „Berufs- und Arbeitspädagogik“ ist § 38 Abs. 1 entsprechend anzuwenden.</w:t>
      </w:r>
    </w:p>
    <w:p>
      <w:r>
        <w:rPr>
          <w:color w:val="555555"/>
          <w:sz w:val="17"/>
        </w:rPr>
        <w:t xml:space="preserve">Zitiervorschlag: § 111 BayAgrSchO (Bayern)</w:t>
      </w:r>
    </w:p>
    <w:p>
      <w:r>
        <w:rPr>
          <w:color w:val="555555"/>
          <w:sz w:val="17"/>
        </w:rPr>
        <w:t xml:space="preserve">Quelle: bayernrecht, abgerufen 01.09.2026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https://recht.nulegal.eu/gesetze/BayAgrSchO/111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