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BayAgrSchO (Bayern) — Ordnungsmaßnahmen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86 Abs. 2 BayEUG sollen folgende Ordnungsmaßnahmen vorrangig angewendet werden:</w:t>
      </w:r>
    </w:p>
    <w:p>
      <w:r>
        <w:t xml:space="preserve">1. der schriftliche Verweis durch die Lehrkraft,</w:t>
      </w:r>
    </w:p>
    <w:p>
      <w:r>
        <w:t xml:space="preserve">2. der verschärfte Verweis durch die Schulleitung,</w:t>
      </w:r>
    </w:p>
    <w:p>
      <w:r>
        <w:t xml:space="preserve">3. die Androhung der Entlassung von der Schule bei einer schulischen Gefährdung,</w:t>
      </w:r>
    </w:p>
    <w:p>
      <w:r>
        <w:t xml:space="preserve">4. die Entlassung von der Schule bei einer schulischen Gefährdung.</w:t>
      </w:r>
    </w:p>
    <w:p>
      <w:r>
        <w:rPr>
          <w:color w:val="555555"/>
          <w:sz w:val="17"/>
        </w:rPr>
        <w:t xml:space="preserve">Zitiervorschlag: § 10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