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BayAgrG (Bayern) — Inkrafttreten, Außerkrafttreten</w:t>
      </w:r>
    </w:p>
    <w:p>
      <w:r>
        <w:rPr>
          <w:color w:val="555555"/>
          <w:sz w:val="18"/>
        </w:rPr>
        <w:t xml:space="preserve">Bayerisches Agrarstrukturgesetz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2017 in Kraft.</w:t>
      </w:r>
    </w:p>
    <w:p>
      <w:r>
        <w:t xml:space="preserve">(2) Das Landpachtverkehrsgesetz (LPachtVG) vom 8. November 1985 (BGBl. I S. 2075), das zuletzt durch Art. 15 des Gesetzes vom 13. April 2006 (BGBl. I S. 855) geändert worden ist, tritt für das Gebiet des Freistaates Bayern mit Ablauf des 31. Dezember 2024 außer Kraft.</w:t>
      </w:r>
    </w:p>
    <w:p>
      <w:r>
        <w:rPr>
          <w:color w:val="555555"/>
          <w:sz w:val="17"/>
        </w:rPr>
        <w:t xml:space="preserve">Zitiervorschlag: Art 4 BayAgrG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