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BayAbgrG (Bayern) — Genehmigung</w:t>
      </w:r>
    </w:p>
    <w:p>
      <w:r>
        <w:rPr>
          <w:color w:val="555555"/>
          <w:sz w:val="18"/>
        </w:rPr>
        <w:t xml:space="preserve">Bayerisches Abgrabungsgesetz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Genehmigung ist zu erteilen, wenn Anlagen nach Art. 1 den öffentlich-rechtlichen Vorschriften, die im abgrabungsaufsichtlichen Genehmigungsverfahren zu prüfen sind, nicht widersprechen; für dem abgrabungsaufsichtlichen Genehmigungsverfahren unterliegende bauliche Anlagen gelten Art. 59, 60, 62a Abs. 2 Satz 4 und 62b Abs. 2 Satz 2 BayBO entsprechend. Die abgrabungsaufsichtliche Erlaubnis erlischt, wenn innerhalb von vier Jahren nach Erteilung mit der Ausführung der Abgrabung nicht begonnen oder die Ausführung vier Jahre unterbrochen worden ist. Art. 62 Abs. 1 Satz 4 und Art. 77 Abs. 2 Satz 3 BayBO gelten entsprechend. Vor Einreichung des Abgrabungsantrags kann auf schriftlichen Antrag zu einzelnen in der Abgrabungsgenehmigung zu entscheidenden Fragen vorweg ein schriftlicher Bescheid (Vorbescheid) erteilt werden. Ist ein Abgrabungsantrag eingereicht, so kann die Ausführung von Teilen des Vorhabens auf schriftlichen Antrag schon vor Erteilung der Abgrabungsgenehmigung durch schriftlichen Bescheid (Teilabgrabungsgenehmigung) gestattet werden. Für Vorbescheid und Teilabgrabungsgenehmigung gelten die Vorschriften über die Abgrabungsgenehmigung sinngemäß.</w:t>
      </w:r>
    </w:p>
    <w:p>
      <w:r>
        <w:t xml:space="preserve">(2) Art. 66 BayBO gilt entsprechend, soweit nicht für die Fälle des Art. 8 Abweichendes geregelt ist. Die Anfechtungsklage eines Dritten gegen die Genehmigung nach Abs. 1 Satz 1 Halbsatz 1 hat keine aufschiebende Wirkung.</w:t>
      </w:r>
    </w:p>
    <w:p>
      <w:r>
        <w:t xml:space="preserve">(3) Die Genehmigung wird unbeschadet der privaten Rechte Dritter erteilt.</w:t>
      </w:r>
    </w:p>
    <w:p>
      <w:r>
        <w:t xml:space="preserve">(4) Vor Bekanntgabe der Genehmigung darf mit der Ausführung der Abgrabung nicht begonnen werden. Der Beginn, bei einer Unterbrechung von mehr als sechs Monaten auch die Fortsetzung der Ausführung, ist der Abgrabungsbehörde mindestens eine Woche zuvor schriftlich mitzuteilen.</w:t>
      </w:r>
    </w:p>
    <w:p>
      <w:r>
        <w:rPr>
          <w:color w:val="555555"/>
          <w:sz w:val="17"/>
        </w:rPr>
        <w:t xml:space="preserve">Zitiervorschlag: Art 9 BayAbgrG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https://recht.nulegal.eu/gesetze/BayAbgrG/9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