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BayAbgrG (Bayern) — Genehmigungsverfahren</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Abgrabungsantrag ist mit den erforderlichen Unterlagen (Abgrabungsplan) bei der Abgrabungsbehörde einzureichen. Soweit die Gemeinde nicht Abgrabungsbehörde ist, ist sie von dieser unverzüglich nach Eingang des Abgrabungsantrags zu beteiligen.</w:t>
      </w:r>
    </w:p>
    <w:p>
      <w:r>
        <w:t xml:space="preserve">(2) Das Staatsministerium für Wohnen, Bau und Verkehr wird ermächtigt, zum abgrabungsaufsichtlichen Genehmigungsverfahren durch Rechtsverordnung Vorschriften über Umfang und Inhalt des Abgrabungsplans, die Zahl der einzureichenden Fertigungen sowie die erforderlichen Nachweise zu erlassen.</w:t>
      </w:r>
    </w:p>
    <w:p>
      <w:r>
        <w:t xml:space="preserve">(3) Die Staatsregierung wird ermächtigt, zur Digitalisierung des abgrabungsaufsichtlichen Genehmigungsverfahrens durch Rechtsverordnung räumlich bestimmte Abweichungen von den durch oder aufgrund dieses Gesetzes bestehenden Zuständigkeits-, Verfahrens- und Formvorschriften vorzusehen. Abweichungen nach Satz 1 für Zuständigkeits- und Verfahrensvorschriften können sich auch auf die Einreichung in Papierform erstrecken. Soweit die Festlegung des örtlichen Anwendungsbereichs einer Rechtsverordnung nach Satz 1 und 2 betroffen ist, kann die Staatsregierung die Ermächtigung nach Satz 1 und 2 durch Rechtsverordnung auf das Staatsministerium für Wohnen, Bau und Verkehr übertragen.</w:t>
      </w:r>
    </w:p>
    <w:p>
      <w:r>
        <w:rPr>
          <w:color w:val="555555"/>
          <w:sz w:val="17"/>
        </w:rPr>
        <w:t xml:space="preserve">Zitiervorschlag: Art 7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