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BayAbgrG (Bayern) — Genehmigungspflicht</w:t>
      </w:r>
    </w:p>
    <w:p>
      <w:r>
        <w:rPr>
          <w:color w:val="555555"/>
          <w:sz w:val="18"/>
        </w:rPr>
        <w:t xml:space="preserve">Bayerisches Abgrabungsgesetz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Ausführung einer Abgrabung bedarf der Genehmigung, soweit nichts anderes bestimmt ist.</w:t>
      </w:r>
    </w:p>
    <w:p>
      <w:r>
        <w:t xml:space="preserve">(2) Keiner Genehmigung nach Absatz 1 bedürfen</w:t>
      </w:r>
    </w:p>
    <w:p>
      <w:r>
        <w:t xml:space="preserve">1. Abgrabungen mit einer Grundfläche bis zu 500 m 2 und einer Tiefe bis zu 2 m,</w:t>
      </w:r>
    </w:p>
    <w:p>
      <w:r>
        <w:t xml:space="preserve">2. Abgrabungen, die einer anderen öffentlich-rechtlichen Zulassung bedürfen,</w:t>
      </w:r>
    </w:p>
    <w:p>
      <w:r>
        <w:t xml:space="preserve">3. Abgrabungen im Geltungsbereich eines Bebauungsplans im Sinn des § 30 des Baugesetzbuchs (BauGB), wenn</w:t>
      </w:r>
    </w:p>
    <w:p>
      <w:r>
        <w:t xml:space="preserve">a) der Bebauungsplan Regelungen über die Zulässigkeit, den Standort und die Größe der Abgrabung enthält,</w:t>
      </w:r>
    </w:p>
    <w:p>
      <w:r>
        <w:t xml:space="preserve">b) für die Abgrabung im Verfahren zur Aufstellung des Bebauungsplans eine nach Art. 8 erforderliche Umweltverträglichkeitsprüfung durchgeführt worden ist,</w:t>
      </w:r>
    </w:p>
    <w:p>
      <w:r>
        <w:t xml:space="preserve">c) die Abgrabung den Festsetzungen des Bebauungsplans und örtlichen Bauvorschriften nach Art. 81 Abs. 1 BayBO nicht widerspricht,</w:t>
      </w:r>
    </w:p>
    <w:p>
      <w:r>
        <w:t xml:space="preserve">d) die Erschließung gesichert ist und</w:t>
      </w:r>
    </w:p>
    <w:p>
      <w:r>
        <w:t xml:space="preserve">e) die Gemeinde nicht innerhalb eines Monats nach Vorlage der erforderlichen Unterlagen eine vorläufige Untersagung nach § 15 Abs. 1 Satz 2 BauGB beantragt,</w:t>
      </w:r>
    </w:p>
    <w:p>
      <w:r>
        <w:t xml:space="preserve">4. Abgrabungen, für die keine Umweltverträglichkeitsprüfung nach Art. 8 durchzuführen ist, unter den Voraussetzungen des Art. 73 Abs. 1 Satz 3 BayBO,</w:t>
      </w:r>
    </w:p>
    <w:p>
      <w:r>
        <w:t xml:space="preserve">5. Grabungen im Sinn des Art. 7 Abs. 3 des Denkmalschutzgesetzes (DSchG), für die keine Umweltverträglichkeitsprüfung nach Art. 8 durchzuführen ist,</w:t>
      </w:r>
    </w:p>
    <w:p>
      <w:r>
        <w:t xml:space="preserve">6. bauliche Anlagen nach Art. 1, wenn sie nach Art. 57 oder 58 BayBO keiner Genehmigung bedürfen.</w:t>
      </w:r>
    </w:p>
    <w:p>
      <w:r>
        <w:t xml:space="preserve">In den Fällen des Satzes 1 Nr. 3 darf mit der Ausführung der Abgrabung auch begonnen werden, wenn die Gemeinde vor Ablauf der Frist nach Satz 1 Nr. 3 Buchst. e erklärt, dass sie eine vorläufige Untersagung der Ausführung der Abgrabung nicht beantragen wird.</w:t>
      </w:r>
    </w:p>
    <w:p>
      <w:r>
        <w:t xml:space="preserve">(3) Die Genehmigungsfreiheit nach Absatz 2 entbindet nicht von der Verpflichtung zur Einhaltung der Anforderungen, die durch öffentlich-rechtliche Vorschriften an die Anlagen nach Art. 1 gestellt werden. Die abgrabungsaufsichtlichen Eingriffsbefugnisse und die Verpflichtung, andere öffentlich-rechtliche Gestattungen für die Ausführung oder Verfüllung der Abgrabung oder für die Errichtung, Änderung oder Nutzungsänderung baulicher Anlagen nach Art. 1 einzuholen, werden durch die Genehmigungsfreiheit nicht berührt.</w:t>
      </w:r>
    </w:p>
    <w:p>
      <w:r>
        <w:rPr>
          <w:color w:val="555555"/>
          <w:sz w:val="17"/>
        </w:rPr>
        <w:t xml:space="preserve">Zitiervorschlag: Art 6 BayAbgrG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https://recht.nulegal.eu/gesetze/BayAbgrG/6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