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BayAbgrG (Bayern) — Ordnungswidrigkeiten</w:t>
      </w:r>
    </w:p>
    <w:p>
      <w:r>
        <w:rPr>
          <w:color w:val="555555"/>
          <w:sz w:val="18"/>
        </w:rPr>
        <w:t xml:space="preserve">Bayerisches Abgrabungsgesetz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 Geldbuße bis zu fünfhunderttausend Euro kann belegt werden, wer vorsätzlich oder fahrlässig</w:t>
      </w:r>
    </w:p>
    <w:p>
      <w:r>
        <w:t xml:space="preserve">1. eine Abgrabung ohne die nach Art. 6 Abs. 1 erforderliche Genehmigung oder entgegen Art. 9 Abs. 4 Satz 1 ausführt, einer mit der Genehmigung verbundenen vollziehbaren Auflage zuwiderhandelt oder den Beginn der Ausführung der Abgrabung oder der Wiederaufnahme der Abgrabung entgegen Art. 9 Abs. 4 Satz 2 nicht oder nicht rechtzeitig anzeigt,</w:t>
      </w:r>
    </w:p>
    <w:p>
      <w:r>
        <w:t xml:space="preserve">2. eine Abgrabung vor Ablauf der Frist nach Art. 6 Abs. 2 Satz 1 Nr. 3 Buchst. e und ohne dass die Gemeinde die Erklärung nach Art. 6 Abs. 3 Satz 2 abgegeben hat, ausführt,</w:t>
      </w:r>
    </w:p>
    <w:p>
      <w:r>
        <w:t xml:space="preserve">3. eine Abgrabung ausführt, bevor die erforderlichen Nachweise oder die Bescheinigungen verantwortlicher Sachverständiger erstellt sind,</w:t>
      </w:r>
    </w:p>
    <w:p>
      <w:r>
        <w:t xml:space="preserve">4. eine Abgrabung entgegen einer vollziehbaren Anordnung nach Art. 4 Abs. 2 Satz 2 ausführt.</w:t>
      </w:r>
    </w:p>
    <w:p>
      <w:r>
        <w:t xml:space="preserve">(2) Mit Geldbuße bis zu fünftausend Euro kann belegt werden, wer vorsätzlich oder leichtfertig unrichtige Angaben macht oder unrichtige Pläne oder Unterlagen vorlegt, um einen Verwaltungsakt nach diesem Gesetz zu erwirken oder zu verhindern.</w:t>
      </w:r>
    </w:p>
    <w:p>
      <w:r>
        <w:t xml:space="preserve">(3) Ist eine vorsätzliche Ordnungswidrigkeit nach Absätzen 1 und 2 begangen worden, so können</w:t>
      </w:r>
    </w:p>
    <w:p>
      <w:r>
        <w:t xml:space="preserve">1. Gegenstände, auf die sich die Ordnungswidrigkeit bezieht, und</w:t>
      </w:r>
    </w:p>
    <w:p>
      <w:r>
        <w:t xml:space="preserve">2. Gegenstände, die zu ihrer Begehung oder Vorbereitung gebraucht worden oder bestimmt gewesen sind,</w:t>
      </w:r>
    </w:p>
    <w:p>
      <w:r>
        <w:t xml:space="preserve">eingezogen werden. § 23 des Gesetzes über Ordnungswidrigkeiten (OWiG) ist anzuwenden.</w:t>
      </w:r>
    </w:p>
    <w:p>
      <w:r>
        <w:rPr>
          <w:color w:val="555555"/>
          <w:sz w:val="17"/>
        </w:rPr>
        <w:t xml:space="preserve">Zitiervorschlag: Art 10 BayAbgrG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https://recht.nulegal.eu/gesetze/BayAbgrG/10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