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59 BayAbgG (Bayern) — Übergangsregelung für die Anrechnung beim Zusammentreffen mehrerer Bezüge aus öffentlichen Kassen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Bis zum Ende der 15. Wahlperiode des Bayerischen Landtags findet Art. 22 Abs. 2 in der bis zum 30. Juni 2004 geltenden Fassung Anwendung. Art. 22 Abs. 10 bleibt insoweit unberücksichtigt.</w:t>
      </w:r>
    </w:p>
    <w:p>
      <w:r>
        <w:t xml:space="preserve">(2) Auf die am 1. Juli 2004 vorhandenen ehemaligen Mitglieder des Bayerischen Landtags und Hinterbliebenen findet Art. 22 Abs. 4 in der bis zum 30. Juni 2004 geltenden Fassung Anwendung. Art. 22 Abs. 10 bleibt insoweit unberücksichtigt.</w:t>
      </w:r>
    </w:p>
    <w:p>
      <w:r>
        <w:rPr>
          <w:color w:val="555555"/>
          <w:sz w:val="17"/>
        </w:rPr>
        <w:t xml:space="preserve">Zitiervorschlag: Art 59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