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BayAbgG (Bayern) — Entschädigung</w:t>
      </w:r>
    </w:p>
    <w:p>
      <w:r>
        <w:rPr>
          <w:color w:val="555555"/>
          <w:sz w:val="18"/>
        </w:rPr>
        <w:t xml:space="preserve">Bayerisches Abgeordnetengesetz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 Mitglied des Bayerischen Landtags erhält als steuerpflichtiges Einkommen eine Entschädigung, die zwölfmal im Jahr gezahlt wird. Sie beträgt je Monat 9 215 Euro.</w:t>
      </w:r>
    </w:p>
    <w:p>
      <w:r>
        <w:t xml:space="preserve">(2) Die Entschädigung beträgt für den Präsidenten das Zweifache, für stellvertretende Präsidenten das Eineinhalbfache der Entschädigung nach Absatz 1.</w:t>
      </w:r>
    </w:p>
    <w:p>
      <w:r>
        <w:t xml:space="preserve">(3) Die Entschädigungen nach den Abs. 1 und 2 werden zum 1. Juli 2024, 1. Juli 2025, 1. Juli 2026, 1. Juli 2027 und zum 1. Juli 2028 an die Einkommensentwicklung angepasst, die jeweils vom 3. Quartal des abgelaufenen Jahres gegenüber dem 3. Quartal des vorangegangenen Jahres eingetreten ist. Maßstab für die Anpassung ist der Index der durchschnittlichen Bruttomonatsverdienste ohne Sonderzahlungen in Bayern. Die prozentuale Veränderung des Index teilt das Landesamt für Statistik bis 1. März eines Jahres dem Präsidenten mit. Dieser veröffentlicht den neuen Betrag der Entschädigung im Gesetz- und Verordnungsblatt.</w:t>
      </w:r>
    </w:p>
    <w:p>
      <w:r>
        <w:t xml:space="preserve">(4) Der Auszahlungsbetrag der Entschädigungen nach den Absätzen 1 und 2 vermindert sich in Ansehung der zu den Kosten in Pflegefällen nach Art. 20 zu gewährenden Leistungen vom 1. Januar 1995 an um ein Dreihundertfünfundsechzigstel.</w:t>
      </w:r>
    </w:p>
    <w:p>
      <w:r>
        <w:t xml:space="preserve">(5) Der Bayerische Landtag beschließt innerhalb des ersten Halbjahres nach der konstituierenden Sitzung über die Anpassung der Entschädigungen nach den Absätzen 1 und 2 mit Wirkung für die gesamte Wahlperiode. Der Präsident leitet den Fraktionen einen entsprechenden Gesetzesvorschlag zu.</w:t>
      </w:r>
    </w:p>
    <w:p>
      <w:r>
        <w:rPr>
          <w:color w:val="555555"/>
          <w:sz w:val="17"/>
        </w:rPr>
        <w:t xml:space="preserve">Zitiervorschlag: Art 5 BayAbgG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