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BayAbgG (Bayern) — Richter und Angestellte des öffentlichen Dienstes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Art. 43 bis 45 und 47 gelten für Richter entsprechend.</w:t>
      </w:r>
    </w:p>
    <w:p>
      <w:r>
        <w:t xml:space="preserve">(2) Die Art. 42 bis 48 gelten für Angestellte des öffentlichen Dienstes sinngemäß. Nach Beendigung der Mitgliedschaft im Bayerischen Landtag ist die Zeit der Mitgliedschaft auf Dienst- und Beschäftigungszeiten anzurechnen; im Rahmen einer bestehenden zusätzlichen Alters- und Hinterbliebenenversorgung gilt dies nur im Hinblick auf Vorschriften, die die Anwartschaft oder den Anspruch dem Grund nach regeln.</w:t>
      </w:r>
    </w:p>
    <w:p>
      <w:r>
        <w:rPr>
          <w:color w:val="555555"/>
          <w:sz w:val="17"/>
        </w:rPr>
        <w:t xml:space="preserve">Zitiervorschlag: Art 49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