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40 BayAbgG (Bayern) — Ausführungsbestimmungen</w:t>
      </w:r>
    </w:p>
    <w:p>
      <w:r>
        <w:rPr>
          <w:color w:val="555555"/>
          <w:sz w:val="18"/>
        </w:rPr>
        <w:t xml:space="preserve">Bayerisches Abgeordnetengesetz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Ältestenrat des Bayerischen Landtags erlässt Ausführungsbestimmungen insbesondere über</w:t>
      </w:r>
    </w:p>
    <w:p>
      <w:r>
        <w:t xml:space="preserve">1. den weiteren Inhalt und Umfang sowie die digitale Form der Anzeige- und Veröffentlichungspflichten,</w:t>
      </w:r>
    </w:p>
    <w:p>
      <w:r>
        <w:t xml:space="preserve">2. die Annahme, Anzeige und Aushändigung von geldwerten Zuwendungen,</w:t>
      </w:r>
    </w:p>
    <w:p>
      <w:r>
        <w:t xml:space="preserve">3. das Verfahren zur Einwilligung in Eigengeschäfte gemäß Art. 32 Abs. 1 Satz 2 Nr. 4,</w:t>
      </w:r>
    </w:p>
    <w:p>
      <w:r>
        <w:t xml:space="preserve">4. das Verfahren zur Gestattung einer Veröffentlichung nach Art. 35 Abs. 2 und</w:t>
      </w:r>
    </w:p>
    <w:p>
      <w:r>
        <w:t xml:space="preserve">5. das Verfahren bei Verstößen gegen die Vorschriften des dritten Teils dieses Gesetzes.</w:t>
      </w:r>
    </w:p>
    <w:p>
      <w:r>
        <w:rPr>
          <w:color w:val="555555"/>
          <w:sz w:val="17"/>
        </w:rPr>
        <w:t xml:space="preserve">Zitiervorschlag: Art 40 BayAbgG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https://recht.nulegal.eu/gesetze/BayAbgG/40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