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BayAbgG (Bayern) — Berufs- und Betriebszeiten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Zeit der Mitgliedschaft im Bayerischen Landtag und in der gesetzgebenden Körperschaft eines anderen Landes ist nach Beendigung des Mandats auf die Berufs- und Betriebszugehörigkeit anzurechnen.</w:t>
      </w:r>
    </w:p>
    <w:p>
      <w:r>
        <w:t xml:space="preserve">(2) Im Rahmen einer bestehenden betrieblichen oder überbetrieblichen Altersversorgung wird die Anrechnung nach Absatz 1 nur im Hinblick auf die Erfüllung der Unverfallbarkeitsfristen des § 1b des Gesetzes zur Verbesserung der betrieblichen Altersversorgung vorgenommen.</w:t>
      </w:r>
    </w:p>
    <w:p>
      <w:r>
        <w:rPr>
          <w:color w:val="555555"/>
          <w:sz w:val="17"/>
        </w:rPr>
        <w:t xml:space="preserve">Zitiervorschlag: Art 4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