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BayAbgG (Bayern) — Veröffentlichung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Angaben gemäß Art. 34 Abs. 1 bis 4 werden mit Ausnahme der Angabe zu den einzelnen Vertragspartnern gemäß Art. 34 Abs. 3 Satz 3 auf der Internetseite des Bayerischen Landtags veröffentlicht. Regelmäßige monatliche Einkünfte werden als solche gekennzeichnet.</w:t>
      </w:r>
    </w:p>
    <w:p>
      <w:r>
        <w:t xml:space="preserve">(2) Das Präsidium des Bayerischen Landtags kann dem Mitglied des Bayerischen Landtags auf Antrag gestatten, einzelne Einkünfte abweichend zu der Regelung in Abs. 1 Satz 1 zu veröffentlichen, wenn durch die Veröffentlichung der genauen Höhe der einzelnen Einkünfte Betriebs- und Geschäftsgeheimnisse des Mitglieds des Bayerischen Landtags oder eines Dritten beeinträchtigt werden und dem Mitglied des Bayerischen Landtags oder Dritten dadurch ein erheblicher Wettbewerbsnachteil droht. Die Beeinträchtigung der Betriebs- und Geschäftsgeheimnisse sowie der dadurch drohende Wettbewerbsnachteil sind gegenüber dem Präsidium glaubhaft zu machen. Über die Art und Weise der zu Abs. 1 Satz 1 abweichenden Veröffentlichung, entscheidet das Präsidium anhand der Umstände des Einzelfalls.</w:t>
      </w:r>
    </w:p>
    <w:p>
      <w:r>
        <w:rPr>
          <w:color w:val="555555"/>
          <w:sz w:val="17"/>
        </w:rPr>
        <w:t xml:space="preserve">Zitiervorschlag: Art 35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