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BayAbgG (Bayern) — Verbot eigener Geschäfte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Mitglieder des Bayerischen Landtags dürfen mit den in Art. 29 Abs. 1 Satz 1 genannten Stellen sowie mit Personen- und Kapitalgesellschaften, an denen der Freistaat Bayern mehr als 25 % der Anteile hält, keine Geschäfte auf eigene Rechnung abschließen oder abwickeln. Dies gilt nicht für</w:t>
      </w:r>
    </w:p>
    <w:p>
      <w:r>
        <w:t xml:space="preserve">1. die Teilnahme an Ausschreibungs- und Vergabeverfahren und darauf gründenden Rechtsgeschäfte,</w:t>
      </w:r>
    </w:p>
    <w:p>
      <w:r>
        <w:t xml:space="preserve">2. die Abwicklung von vor Beginn des Landtagsmandats abgeschlossenen Verträgen,</w:t>
      </w:r>
    </w:p>
    <w:p>
      <w:r>
        <w:t xml:space="preserve">3. Rechtsgeschäfte, deren Geschäftswert im Einzelfall oder insgesamt im Kalenderjahr den Betrag von 10 000 Euro nicht übersteigen,</w:t>
      </w:r>
    </w:p>
    <w:p>
      <w:r>
        <w:t xml:space="preserve">4. Rechtsgeschäfte, zu denen das Präsidium des Bayerischen Landtags zuvor seine Einwilligung erteilt hat.</w:t>
      </w:r>
    </w:p>
    <w:p>
      <w:r>
        <w:t xml:space="preserve">Dies gilt auch für Rechtsgeschäfte von Kapitalgesellschaften, deren Anteile vollständig vom Mitglied des Bayerischen Landtags gehalten werden.</w:t>
      </w:r>
    </w:p>
    <w:p>
      <w:r>
        <w:t xml:space="preserve">(2) Soweit Rechtsgeschäfte nach Abs. 1 Satz 2 zulässig sind, sind sie der Präsidentin oder dem Präsidenten gemäß Art. 34 Abs. 3 bis 5 anzuzeigen und gemäß Art. 35 zu veröffentlichen.</w:t>
      </w:r>
    </w:p>
    <w:p>
      <w:r>
        <w:rPr>
          <w:color w:val="555555"/>
          <w:sz w:val="17"/>
        </w:rPr>
        <w:t xml:space="preserve">Zitiervorschlag: Art 32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