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BayAbgG (Bayern) — Verbot der entgeltlichen Interessenvertretung für Dritte in Einzelangelegenheiten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Mitglieder des Bayerischen Landtags dürfen gegen Entgelt keine fremden Angelegenheiten gegenüber</w:t>
      </w:r>
    </w:p>
    <w:p>
      <w:r>
        <w:t xml:space="preserve">1. den obersten Landesbehörden des Freistaates Bayern und deren unmittelbar nachgeordneten Behörden,</w:t>
      </w:r>
    </w:p>
    <w:p>
      <w:r>
        <w:t xml:space="preserve">2. den höheren Landesbehörden, sofern diese im konkreten Einzelfall nicht Einspruchs-, Widerspruchs- oder Bußgeldbehörde sind,</w:t>
      </w:r>
    </w:p>
    <w:p>
      <w:r>
        <w:t xml:space="preserve">3. den juristischen Personen des öffentlichen Rechts, soweit diese unmittelbar der Fachaufsicht der obersten Landesbehörden unterstehen, und</w:t>
      </w:r>
    </w:p>
    <w:p>
      <w:r>
        <w:t xml:space="preserve">4. Personen- und Kapitalgesellschaften, an denen der Freistaat Bayern mehr als 25 % der Anteile hält,</w:t>
      </w:r>
    </w:p>
    <w:p>
      <w:r>
        <w:t xml:space="preserve">besorgen. Dies gilt nicht für Besorgung fremder Angelegenheiten gegenüber den Organen der Rechtspflege sowie den unabhängigen Behörden des Freistaates Bayern.</w:t>
      </w:r>
    </w:p>
    <w:p>
      <w:r>
        <w:t xml:space="preserve">(2) Soweit die Besorgung fremder Angelegenheiten nach diesem Artikel zulässig ist, ist sie der Präsidentin oder dem Präsidenten gemäß Art. 34 Abs. 3 bis 5 anzuzeigen und gemäß Art. 35 zu veröffentlichen.</w:t>
      </w:r>
    </w:p>
    <w:p>
      <w:r>
        <w:rPr>
          <w:color w:val="555555"/>
          <w:sz w:val="17"/>
        </w:rPr>
        <w:t xml:space="preserve">Zitiervorschlag: Art 30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