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BayAbgG (Bayern) — Rechtsstellung, Erwerb und Verlust der Mitgliedschaft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Abgeordneten sind Vertreter des Volkes, nicht nur einer Partei. Sie sind nur ihrem Gewissen verantwortlich und an Aufträge nicht gebunden.</w:t>
      </w:r>
    </w:p>
    <w:p>
      <w:r>
        <w:t xml:space="preserve">(2) Erwerb und Verlust der Mitgliedschaft im Bayerischen Landtag regeln sich nach den Vorschriften des Landeswahlgesetzes.</w:t>
      </w:r>
    </w:p>
    <w:p>
      <w:r>
        <w:rPr>
          <w:color w:val="555555"/>
          <w:sz w:val="17"/>
        </w:rPr>
        <w:t xml:space="preserve">Zitiervorschlag: Art 1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