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BayAbfG (Bayern) — Satzungen zur Regelung der kommunalen Abfallentsorgung</w:t>
      </w:r>
    </w:p>
    <w:p>
      <w:r>
        <w:rPr>
          <w:color w:val="555555"/>
          <w:sz w:val="18"/>
        </w:rPr>
        <w:t xml:space="preserve">Bayerisches Abfallwirtschaftsgesetz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entsorgungspflichtigen Körperschaften regeln durch Satzung den Anschlußzwang (Art. 18 der Landkreisordnung, Art. 24 der Gemeindeordnung) und die Überlassungspflicht (§ 17 KrWG). Sie können insbesondere bestimmen, in welcher Art, in welcher Weise, an welchem Ort und zu welcher Zeit ihnen die Abfälle zu überlassen sind. Die Besitzer von Abfällen sind zur getrennten Überlassung zu verpflichten, soweit die Pflicht der entsorgungspflichtigen Körperschaften zur stofflichen Verwertung reicht, die getrennte Erfassung der Abfälle der Nutzung von Verwertungsmöglichkeiten oder der ordnungsgemäßen Entsorgung sonst förderlich ist oder in einem Gesetz zur Regelung der abfallrechtlichen Produktverantwortung oder in einer Rechtsverordnung nach § 25 KrWG vorgeschrieben ist. In den Fällen des Satzes 3 kann auch verlangt werden, Abfälle an zentralen Sammelstellen zu überlassen, soweit das Einsammeln am Anfallort nur mit erheblichem Aufwand möglich und das Verbringen zur Sammelstelle den Besitzern zumutbar ist.</w:t>
      </w:r>
    </w:p>
    <w:p>
      <w:r>
        <w:t xml:space="preserve">(2) Die Landkreise und die kreisfreien Gemeinden erheben für die Entsorgung der Abfälle Gebühren. In den Fällen des Art. 5 Abs. 1 Sätze 1 und 2 werden die Gebühren von den kreisangehörigen Gemeinden oder ihren Zusammenschlüssen erhoben, soweit Abfälle ihnen überlassen oder von ihnen ohne Überlassung eingesammelt werden. Soweit für bestimmte Abfälle nur einzelne Maßnahmen der Entsorgung übertragen werden, bemißt die für das Einsammeln zuständige Körperschaft die Gebühren so, daß hierin auch die Entgelte eingeschlossen sind, die der anderen Körperschaft für die Durchführung der ihr obliegenden Maßnahmen zustehen.</w:t>
      </w:r>
    </w:p>
    <w:p>
      <w:r>
        <w:t xml:space="preserve">(3) Zur Deckung des Investitionsaufwands für ihre öffentlichen Entsorgungseinrichtungen können die entsorgungspflichtigen Körperschaften auch Beiträge erheben.</w:t>
      </w:r>
    </w:p>
    <w:p>
      <w:r>
        <w:t xml:space="preserve">(4) Soweit die Entsorgung der Abfälle einzelner Besitzer besondere Anlagen, Einrichtungen oder sonstige Aufwendungen erfordert, können wegen der daraus entstehenden Mehrkosten von den Besitzern besondere Gebühren und Beiträge erhoben werden. Für diese Gebühren und Beiträge kann eine angemessene Sicherheitsleistung verlangt werden.</w:t>
      </w:r>
    </w:p>
    <w:p>
      <w:r>
        <w:t xml:space="preserve">(5) Für die Gebühren- und Beitragserhebung gelten Art. 2 Abs. 1 und 2, Art. 5, 8 und 12 bis 17 des Kommunalabgabengesetzes mit der Maßgabe entsprechend, daß</w:t>
      </w:r>
    </w:p>
    <w:p>
      <w:r>
        <w:t xml:space="preserve">1. Beiträge auch von Gewerbetreibenden erhoben werden können,</w:t>
      </w:r>
    </w:p>
    <w:p>
      <w:r>
        <w:t xml:space="preserve">1a. durch die erhobenen Gebühren und Beiträge alle Kosten für die Abfallablagerung abgedeckt werden müssen, d.h. die Kosten für die Errichtung und den Betrieb einer Deponie oder einer immissionsschutzrechtlich genehmigungsbedürftigen Anlage zum Lagern von Abfällen im Sinn des § 44 Abs. 4 KrWG einschließlich der Kosten einer zu leistenden Sicherheit oder eines zu erbringenden gleichwertigen Sicherungsmittels sowie die geschätzten Kosten für die Stilllegung und die Nachsorge für einen Zeitraum von mindestens 30 Jahren,</w:t>
      </w:r>
    </w:p>
    <w:p>
      <w:r>
        <w:t xml:space="preserve">2. zu den ansatzfähigen Kosten auch die durch Rückstellungen nicht gedeckten Aufwendungen für notwendige Vorkehrungen an den nach dem 10. Juni 1972 stillgelegten Abfallbeseitigungsanlagen sowie die Aufwendungen für Maßnahmen nach Art. 3 Abs. 4, Art. 5 Abs. 2 und Art. 24 gehören,</w:t>
      </w:r>
    </w:p>
    <w:p>
      <w:r>
        <w:t xml:space="preserve">3. zu den ansatzfähigen Kosten auch die in ordnungsgemäßer Wahrnehmung der Pflichtaufgabe nach Art. 3 Abs. 1 entstandenen Aufwendungen für Planung und Entwicklung nicht verwirklichter Vorhaben gehören,</w:t>
      </w:r>
    </w:p>
    <w:p>
      <w:r>
        <w:t xml:space="preserve">4. zu den ansatzfähigen Kosten auch die in ordnungsgemäßer Wahrnehmung der Pflichtaufgabe nach Art. 3 Abs. 1 entstandenen Aufwendungen für Maßnahmen zur Beseitigung unerlaubter Abfallablagerungen gehören, soweit ein Pflichtiger nicht in Anspruch genommen werden kann,</w:t>
      </w:r>
    </w:p>
    <w:p>
      <w:r>
        <w:t xml:space="preserve">5. im Rahmen des Äquivalenz- und des Kostendeckungsprinzips entsprechend den Abfallmengen progressiv gestaffelte Gebühren erhoben werden können, um Anreize zur Vermeidung von Abfällen zu schaffen,</w:t>
      </w:r>
    </w:p>
    <w:p>
      <w:r>
        <w:t xml:space="preserve">6. auf Grund einer entsprechenden Bestimmung in der Satzung der entsorgungspflichtigen Körperschaft die Ermittlung der Berechnungsgrundlagen, die Gebühren- oder Beitragsabrechnung, die Ausfertigung und Versendung der Bescheide sowie die Entgegennahme der zu entrichtenden Gebühren oder Beiträge von einem damit beauftragten zuverlässigen Dritten wahrgenommen werden können.</w:t>
      </w:r>
    </w:p>
    <w:p>
      <w:r>
        <w:rPr>
          <w:color w:val="555555"/>
          <w:sz w:val="17"/>
        </w:rPr>
        <w:t xml:space="preserve">Zitiervorschlag: Art 7 BayAbfG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https://recht.nulegal.eu/gesetze/BayAbfG/7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