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BayAbfG (Bayern) — Mindestausstattung mit Entsorgungseinrichtungen und -anlagen</w:t>
      </w:r>
    </w:p>
    <w:p>
      <w:r>
        <w:rPr>
          <w:color w:val="555555"/>
          <w:sz w:val="18"/>
        </w:rPr>
        <w:t xml:space="preserve">Bayerisches Abfallwirtschaftsgesetz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entsorgungspflichtigen Körperschaften haben Erfassungssysteme zur stofflichen Verwertung vorzuhalten, die mindestens Wertstoffhöfe oder, soweit nicht gesonderte Holsysteme eingeführt sind oder werden, sonstige Bringsysteme wenigstens für Glas-, Papier-, Metall- und Kunststoffabfälle sowie, soweit dies technisch möglich und wirtschaftlich zumutbar ist, für Bioabfälle umfassen. Die Verpflichtung besteht nicht, soweit entsprechende privatwirtschaftliche Erfassungssysteme tatsächlich eingerichtet sind.</w:t>
      </w:r>
    </w:p>
    <w:p>
      <w:r>
        <w:t xml:space="preserve">(2) Die entsorgungspflichtigen Körperschaften haben Anlagen zu errichten und zu betreiben, in denen die nach Ausschöpfung der Möglichkeiten nach Art. 1 Abs. 1 Satz 1 Nrn. 1 bis 4 verbleibenden Abfälle so behandelt werden, dass sie umweltverträglich beseitigt werden können.</w:t>
      </w:r>
    </w:p>
    <w:p>
      <w:r>
        <w:t xml:space="preserve">(3) Die entsorgungspflichtigen Körperschaften haben mindestens eine Deponie der Klasse II nach § 2 Nr. 8 der Deponieverordnung mit einer ausreichenden Nutzungsdauer verfügbar zu halten.</w:t>
      </w:r>
    </w:p>
    <w:p>
      <w:r>
        <w:rPr>
          <w:color w:val="555555"/>
          <w:sz w:val="17"/>
        </w:rPr>
        <w:t xml:space="preserve">Zitiervorschlag: Art 4 BayAbfG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https://recht.nulegal.eu/gesetze/BayAbfG/4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