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29 BayAbfG (Bayern) — Ordnungswidrigkeiten</w:t>
      </w:r>
    </w:p>
    <w:p>
      <w:r>
        <w:rPr>
          <w:color w:val="555555"/>
          <w:sz w:val="18"/>
        </w:rPr>
        <w:t xml:space="preserve">Bayerisches Abfallwirtschaftsgesetz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Mit Geldbuße bis zu fünfzigtausend Euro kann belegt werden, soweit die Tat nicht nach anderen Vorschriften mit Geldbuße mit mindestens gleicher Höhe bedroht ist, wer vorsätzlich oder fahrlässig</w:t>
      </w:r>
    </w:p>
    <w:p>
      <w:r>
        <w:t xml:space="preserve">1. sich entgegen Art. 10 Abs. 1 nicht der GSB Sonderabfall-Entsorgung Bayern GmbH bedient,</w:t>
      </w:r>
    </w:p>
    <w:p>
      <w:r>
        <w:t xml:space="preserve">2. entgegen den Verboten des Art. 14 Abs. 1 oder 3 Veränderungen vornimmt oder</w:t>
      </w:r>
    </w:p>
    <w:p>
      <w:r>
        <w:t xml:space="preserve">3. einer vollziehbaren Anordnung nach Art. 20 Satz 1, Art. 21 Abs. 2, Art. 22 Abs. 1 Satz 2 oder 3 oder Art. 27 Abs. 2 zuwiderhandelt.</w:t>
      </w:r>
    </w:p>
    <w:p>
      <w:r>
        <w:rPr>
          <w:color w:val="555555"/>
          <w:sz w:val="17"/>
        </w:rPr>
        <w:t xml:space="preserve">Zitiervorschlag: Art 29 BayAbfG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https://recht.nulegal.eu/gesetze/BayAbfG/29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