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BayAbfG (Bayern) — Aufsicht und Überwachung</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Oberste Aufsichtsbehörde über den Vollzug der Verordnungen der Europäischen Union im Bereich der Abfallwirtschaft, des Abfallverbringungsgesetzes, des Kreislaufwirtschaftsgesetzes, des Elektro- und Elektronikgerätegesetzes, des Batteriegesetzes, des Verpackungsgesetzes, dieses Gesetzes und der auf Grund der genannten Vorschriften erlassenen Rechtsverordnungen ist das Staatsministerium. Das Staatsministerium ist auch zuständig für die sonstigen in den in Satz 1 genannten Rechtsvorschriften den obersten Landesbehörden übertragenen Aufgaben. Die Vorschriften über die Kommunalaufsicht und das Bergwesen bleiben unberührt.</w:t>
      </w:r>
    </w:p>
    <w:p>
      <w:r>
        <w:t xml:space="preserve">(2) Das Staatsministerium hat die bei der Überwachung von Abfallbeseitigungsanlagen erfaßten Umwelteinwirkungen zu bewerten und die Öffentlichkeit über die Ergebnisse zu unterrichten. Das Staatsministerium kann sich zur Durchführung der Aufgaben nach Satz 1 anderer Behörden und sonstiger Dritter bedienen.</w:t>
      </w:r>
    </w:p>
    <w:p>
      <w:r>
        <w:rPr>
          <w:color w:val="555555"/>
          <w:sz w:val="17"/>
        </w:rPr>
        <w:t xml:space="preserve">Zitiervorschlag: Art 28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