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 BayAbfG (Bayern) — Finanzielle Förderung durch die Kommunen</w:t>
      </w:r>
    </w:p>
    <w:p>
      <w:r>
        <w:rPr>
          <w:color w:val="555555"/>
          <w:sz w:val="18"/>
        </w:rPr>
        <w:t xml:space="preserve">Bayerisches Abfallwirtschaftsgesetz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entsorgungspflichtigen Körperschaften sollen im Rahmen der zur Verfügung stehenden Haushaltsmittel private Maßnahmen zur Abfallvermeidung, Schadstoffminimierung und Abfallverwertung unterstützen.</w:t>
      </w:r>
    </w:p>
    <w:p>
      <w:r>
        <w:rPr>
          <w:color w:val="555555"/>
          <w:sz w:val="17"/>
        </w:rPr>
        <w:t xml:space="preserve">Zitiervorschlag: Art 24 BayAbfG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https://recht.nulegal.eu/gesetze/BayAbfG/24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