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BayAbfG (Bayern) — Gewährung von Finanzierungshilfen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Erfüllung der Aufgaben nach dem Kreislaufwirtschaftsgesetz und nach diesem Gesetz können Finanzierungshilfen nach Maßgabe der Absätze 2 bis 4 gewährt werden.</w:t>
      </w:r>
    </w:p>
    <w:p>
      <w:r>
        <w:t xml:space="preserve">(2) Vorhaben, die den Zielen des Art. 1 Abs. 1 Satz 1 Nrn. 1 bis 5 entsprechen, dürfen nur als Mustervorhaben gefördert werden. In Ausnahmefällen können auch Maßnahmen gefördert werden, die der Erforschung oder Erprobung neuer Technologien für die Behandlung oder Ablagerung von Abfällen dienen.</w:t>
      </w:r>
    </w:p>
    <w:p>
      <w:r>
        <w:t xml:space="preserve">(3) Die Finanzierungshilfen werden im Rahmen der zur Verfügung stehenden Haushaltsmittel und nach Maßgabe der Dringlichkeit des Vorhabens gewährt.</w:t>
      </w:r>
    </w:p>
    <w:p>
      <w:r>
        <w:t xml:space="preserve">(4) Das Staatsministerium erläßt im Einvernehmen mit dem Staatsministerium des Innern, für Sport und Integration die zur Durchführung der Finanzierung erforderlichen Verwaltungsvorschriften.</w:t>
      </w:r>
    </w:p>
    <w:p>
      <w:r>
        <w:rPr>
          <w:color w:val="555555"/>
          <w:sz w:val="17"/>
        </w:rPr>
        <w:t xml:space="preserve">Zitiervorschlag: Art 23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