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BayAbfG (Bayern) — Pflichten des Inhabers untersagter Deponien</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der Betrieb einer Deponie nach § 39 Abs. 1 KrWG oder nach Art. 20 Satz 1 untersagt, so ist deren Inhaber verpflichtet, die erforderlichen Vorkehrungen zu treffen, um eine Beeinträchtigung des Wohls der Allgemeinheit zu verhüten oder zu unterbinden, insbesondere um die mit der Deponie verbundenen Eingriffe in Natur und Landschaft auszugleichen.</w:t>
      </w:r>
    </w:p>
    <w:p>
      <w:r>
        <w:t xml:space="preserve">(2) Um die Erfüllung dieser Verpflichtung sicherzustellen, trifft die zuständige Behörde die erforderlichen Anordnungen.</w:t>
      </w:r>
    </w:p>
    <w:p>
      <w:r>
        <w:rPr>
          <w:color w:val="555555"/>
          <w:sz w:val="17"/>
        </w:rPr>
        <w:t xml:space="preserve">Zitiervorschlag: Art 21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