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BayAbfG (Bayern) — Pflichten der öffentlichen Hand</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Staat, Gemeinden, Landkreise, Bezirke und die sonstigen juristischen Personen des öffentlichen Rechts haben vorbildhaft dazu beizutragen, daß die Ziele des Art. 1 Abs. 1 erreicht werden. Dazu sind finanzielle Mehrbelastungen und Minderungen der Gebrauchstauglichkeit in angemessenem Umfang hinzunehmen.</w:t>
      </w:r>
    </w:p>
    <w:p>
      <w:r>
        <w:t xml:space="preserve">(2) Die in Absatz 1 genannten juristischen Personen sind insbesondere verpflichtet,</w:t>
      </w:r>
    </w:p>
    <w:p>
      <w:r>
        <w:t xml:space="preserve">1. bei der Gestaltung von Arbeitsabläufen und bei ihrem sonstigen Handeln, vor allem im Beschaffungs- und Auftragswesen und bei Bauvorhaben, möglichst Erzeugnisse zu berücksichtigen, die sich durch Langlebigkeit, Reparaturfreundlichkeit und Wiederverwendbarkeit oder Verwertbarkeit auszeichnen, im Vergleich zu anderen Erzeugnissen zu weniger oder zu entsorgungsfreundlicheren Abfällen führen und aus Abfällen hergestellt worden sind,</w:t>
      </w:r>
    </w:p>
    <w:p>
      <w:r>
        <w:t xml:space="preserve">2. Dritte zu einer Handhabung entsprechend Nummer 1 zu verpflichten, wenn sie diesen ihre Einrichtungen oder Grundstücke zur Verfügung stellen oder Zuwendungen bewilligen.</w:t>
      </w:r>
    </w:p>
    <w:p>
      <w:r>
        <w:t xml:space="preserve">(3) Die in Absatz 1 genannten juristischen Personen wirken im Rahmen ihrer Möglichkeiten darauf hin, daß Gesellschaften des privaten Rechts, an denen sie beteiligt sind, die Verpflichtungen des Absatz 2 beachten.</w:t>
      </w:r>
    </w:p>
    <w:p>
      <w:r>
        <w:rPr>
          <w:color w:val="555555"/>
          <w:sz w:val="17"/>
        </w:rPr>
        <w:t xml:space="preserve">Zitiervorschlag: Art 2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