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BayAbfG (Bayern) — Entsorgung von Sonderabfällen</w:t>
      </w:r>
    </w:p>
    <w:p>
      <w:r>
        <w:rPr>
          <w:color w:val="555555"/>
          <w:sz w:val="18"/>
        </w:rPr>
        <w:t xml:space="preserve">Bayerisches Abfallwirtschaftsgesetz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Unter Beachtung der Zielhierarchie des Art. 1 Abs. 1 sind gefährliche Abfälle im Sinn von § 3 Abs. 5 und § 48 Satz 2 KrWG vorrangig zu verwerten. Die Besitzer nicht aus privaten Haushaltungen stammender gefährlicher Abfälle zur Beseitigung im Sinn von § 3 Abs. 5 und § 48 Satz 2 KrWG, die gemäß Art. 3 Abs. 2 von der Entsorgung ausgeschlossen sind (Sonderabfälle), haben sich zur Erfüllung ihrer Entsorgungspflicht der GSB Sonderabfall-Entsorgung Bayern GmbH zu bedienen. Der Umfang der Überlassungspflicht nach Satz 2 sowie die Art und Weise ihrer Erfüllung bestimmen sich nach dem Abfallwirtschaftsplan.</w:t>
      </w:r>
    </w:p>
    <w:p>
      <w:r>
        <w:t xml:space="preserve">(2) Als Trägerin der Sonderabfallentsorgung hat die GSB Sonderabfall-Entsorgung Bayern GmbH die Pflicht zur Entsorgung der ihr nach Abs. 1 zu überlassenden Abfälle. Der Umfang dieser Entsorgungspflicht sowie die Art und Weise ihrer Erfüllung bestimmen sich nach dem Abfallwirtschaftsplan. Die GSB Sonderabfall-Entsorgung Bayern GmbH hat regionale Sammelstellen zur dezentralen Erfassung von Sonderabfall verfügbar zu halten.</w:t>
      </w:r>
    </w:p>
    <w:p>
      <w:r>
        <w:rPr>
          <w:color w:val="555555"/>
          <w:sz w:val="17"/>
        </w:rPr>
        <w:t xml:space="preserve">Zitiervorschlag: Art 10 BayAbfG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https://recht.nulegal.eu/gesetze/BayAbfG/10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