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BayAVGFRG (Bayern)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§§ 2, 4 Abs. 2, §§ 5, 5b Abs. 1, § 5e Abs. 2 und § 6 Abs. 8 des Gesetzes zur Neuordnung der Gemeindefinanzen (Gemeindefinanzreformgesetz) in der Fassung der Bekanntmachung vom 6. Februar 1995 (BGBl I S. 189), zuletzt geändert durch Art. 10 des Gesetzes vom 29. Oktober 1997 (BGBl I S. 2590), und Art. 16 des Gesetzes über den Finanzausgleich zwischen Staat, Gemeinden und Gemeindeverbänden (Finanzausgleichsgesetz – FAG) in der Fassung der Bekanntmachung vom 10. Februar 1998 (GVBl S. 88, BayRS 605-1-F)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