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BayAVGFRG (Bayern) — Rundungs- und Kleinbetragsregelung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für einen Abrechnungszeitraum errechneten Beteiligungsbeträge und Umlagebeträge werden auf volle Euro-Beträge abgerundet.</w:t>
      </w:r>
    </w:p>
    <w:p>
      <w:r>
        <w:t xml:space="preserve">(2) Beträge unter 25 € werden weder ausbezahlt noch angefordert.</w:t>
      </w:r>
    </w:p>
    <w:p>
      <w:r>
        <w:rPr>
          <w:color w:val="555555"/>
          <w:sz w:val="17"/>
        </w:rPr>
        <w:t xml:space="preserve">Zitiervorschlag: § 6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