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BayAVGFRG (Bayern) — Gemeindeanteil an der Umsatzsteuer</w:t>
      </w:r>
    </w:p>
    <w:p>
      <w:r>
        <w:rPr>
          <w:color w:val="555555"/>
          <w:sz w:val="18"/>
        </w:rPr>
        <w:t xml:space="preserve">Ausführungsverordnung Gemeindefinanzreformgesetz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Gemeindeanteil an der Umsatzsteuer, der nach § 5a Abs. 3 des Gemeindefinanzreformgesetzes auf Bayern entfällt, wird nach dem in § 5a des Gemeindefinanzreformgesetzes festgelegten Schlüssel verteilt.</w:t>
      </w:r>
    </w:p>
    <w:p>
      <w:r>
        <w:t xml:space="preserve">(2) Die zur Aufteilung des Umsatzsteueranteils nach Abs. 1 auf die Gemeinden maßgeblichen Schlüsselzahlen werden in Anlage 2 dieser Verordnung festgesetzt.</w:t>
      </w:r>
    </w:p>
    <w:p>
      <w:r>
        <w:rPr>
          <w:color w:val="555555"/>
          <w:sz w:val="17"/>
        </w:rPr>
        <w:t xml:space="preserve">Zitiervorschlag: § 2 BayAVGFRG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https://recht.nulegal.eu/gesetze/BayAVGFRG/2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