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BayAVGFRG (Bayern) — Inkrafttreten</w:t>
      </w:r>
    </w:p>
    <w:p>
      <w:r>
        <w:rPr>
          <w:color w:val="555555"/>
          <w:sz w:val="18"/>
        </w:rPr>
        <w:t xml:space="preserve">Ausführungsverordnung Gemeindefinanzreformgesetz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Januar 1998 in Kraft.</w:t>
      </w:r>
    </w:p>
    <w:p>
      <w:r>
        <w:rPr>
          <w:color w:val="555555"/>
          <w:sz w:val="17"/>
        </w:rPr>
        <w:t xml:space="preserve">Zitiervorschlag: § 12 BayAVGFRG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https://recht.nulegal.eu/gesetze/BayAVGFRG/12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