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BayAVGFRG (Bayern) — Gemeindeanteil an der Einkommensteuer</w:t>
      </w:r>
    </w:p>
    <w:p>
      <w:r>
        <w:rPr>
          <w:color w:val="555555"/>
          <w:sz w:val="18"/>
        </w:rPr>
        <w:t xml:space="preserve">Ausführungsverordnung Gemeindefinanzreformgesetz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zur Aufteilung des im Freistaat Bayern aufkommenden Gemeindeanteils an der Einkommensteuer (§ 1 des Gemeindefinanzreformgesetzes) maßgeblichen Schlüsselzahlen werden in Anlage 1 dieser Verordnung festgesetzt.</w:t>
      </w:r>
    </w:p>
    <w:p>
      <w:r>
        <w:rPr>
          <w:color w:val="555555"/>
          <w:sz w:val="17"/>
        </w:rPr>
        <w:t xml:space="preserve">Zitiervorschlag: § 1 BayAVGFRG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https://recht.nulegal.eu/gesetze/BayAVGFRG/1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