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BayARV (Bayern)</w:t>
      </w:r>
    </w:p>
    <w:p>
      <w:r>
        <w:rPr>
          <w:color w:val="555555"/>
          <w:sz w:val="18"/>
        </w:rPr>
        <w:t xml:space="preserve">Bayerische Auslandsreisekostenverordnung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Nr. 2 des Bayerischen Gesetzes über die Reisekostenvergütung der Beamten und Richter (Bayerisches Reisekostengesetz – BayRKG) vom 24. April 2001 (GVBl. S. 133, BayRS 2032-4-1-F)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BayARV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